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BE" w:rsidRPr="00F55FBE" w:rsidRDefault="00F55FBE" w:rsidP="00F55FBE">
      <w:pPr>
        <w:pStyle w:val="1"/>
        <w:suppressAutoHyphens/>
        <w:spacing w:before="0"/>
        <w:jc w:val="right"/>
        <w:outlineLvl w:val="0"/>
        <w:rPr>
          <w:szCs w:val="22"/>
        </w:rPr>
      </w:pPr>
      <w:r w:rsidRPr="00F55FBE">
        <w:rPr>
          <w:szCs w:val="22"/>
        </w:rPr>
        <w:t xml:space="preserve">   «УТВЕРЖДЕНО»</w:t>
      </w:r>
    </w:p>
    <w:p w:rsidR="00F55FBE" w:rsidRPr="00F55FBE" w:rsidRDefault="00F55FBE" w:rsidP="00F55FBE">
      <w:pPr>
        <w:pStyle w:val="1"/>
        <w:suppressAutoHyphens/>
        <w:spacing w:before="0"/>
        <w:jc w:val="right"/>
        <w:outlineLvl w:val="0"/>
        <w:rPr>
          <w:szCs w:val="22"/>
        </w:rPr>
      </w:pPr>
      <w:r w:rsidRPr="00F55FBE">
        <w:rPr>
          <w:szCs w:val="22"/>
        </w:rPr>
        <w:t xml:space="preserve">Решением Правления </w:t>
      </w:r>
      <w:r>
        <w:rPr>
          <w:szCs w:val="22"/>
        </w:rPr>
        <w:t>Союза АУ «Созидание</w:t>
      </w:r>
      <w:r w:rsidRPr="00F55FBE">
        <w:rPr>
          <w:szCs w:val="22"/>
        </w:rPr>
        <w:t>»</w:t>
      </w:r>
    </w:p>
    <w:p w:rsidR="00F55FBE" w:rsidRDefault="00F55FBE" w:rsidP="00F55FBE">
      <w:pPr>
        <w:pStyle w:val="1"/>
        <w:suppressAutoHyphens/>
        <w:spacing w:before="0"/>
        <w:jc w:val="right"/>
        <w:outlineLvl w:val="0"/>
        <w:rPr>
          <w:szCs w:val="22"/>
        </w:rPr>
      </w:pPr>
      <w:r w:rsidRPr="00F55FBE">
        <w:rPr>
          <w:szCs w:val="22"/>
        </w:rPr>
        <w:t xml:space="preserve">от </w:t>
      </w:r>
      <w:r w:rsidR="00331802">
        <w:rPr>
          <w:szCs w:val="22"/>
        </w:rPr>
        <w:t>16.08.2022 №22</w:t>
      </w:r>
      <w:r>
        <w:rPr>
          <w:szCs w:val="22"/>
        </w:rPr>
        <w:t>/22</w:t>
      </w:r>
    </w:p>
    <w:p w:rsidR="00F55FBE" w:rsidRPr="00F55FBE" w:rsidRDefault="00F55FBE" w:rsidP="00F55FBE">
      <w:pPr>
        <w:pStyle w:val="1"/>
        <w:suppressAutoHyphens/>
        <w:jc w:val="center"/>
        <w:outlineLvl w:val="0"/>
        <w:rPr>
          <w:b/>
          <w:szCs w:val="22"/>
        </w:rPr>
      </w:pPr>
      <w:r w:rsidRPr="00F55FBE">
        <w:rPr>
          <w:b/>
          <w:szCs w:val="22"/>
        </w:rPr>
        <w:t>Инвестиционная декларация</w:t>
      </w:r>
    </w:p>
    <w:p w:rsidR="00F55FBE" w:rsidRDefault="00F55FBE" w:rsidP="00F55FBE">
      <w:pPr>
        <w:pStyle w:val="1"/>
        <w:suppressAutoHyphens/>
        <w:spacing w:before="0"/>
        <w:ind w:left="5760"/>
        <w:jc w:val="right"/>
        <w:outlineLvl w:val="0"/>
        <w:rPr>
          <w:sz w:val="20"/>
        </w:rPr>
      </w:pP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Настоящая инвестиционная декларация устанавливает цель инвестирования средств компенсационного фонда Союза арбитражных управляющих «Созидание» (далее – Союз АУ «Созидание»), инвестиционную политику Управляющей компании, состав и структуру инвестиционного портфеля Управляющей компании.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Целью инвестирования средств компенсационного фонда, переданных Союзом АУ «Созидание»</w:t>
      </w:r>
      <w:r w:rsidRPr="00AB7E0F">
        <w:rPr>
          <w:b w:val="0"/>
          <w:bCs w:val="0"/>
          <w:sz w:val="21"/>
          <w:szCs w:val="21"/>
        </w:rPr>
        <w:t xml:space="preserve"> </w:t>
      </w:r>
      <w:r w:rsidRPr="00AB7E0F">
        <w:rPr>
          <w:rFonts w:ascii="Times New Roman" w:hAnsi="Times New Roman"/>
          <w:b w:val="0"/>
          <w:bCs w:val="0"/>
          <w:sz w:val="21"/>
          <w:szCs w:val="21"/>
        </w:rPr>
        <w:t>в доверительное управление, является сохранение и прирост средств компенсационного фонда для обеспечения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арбитражными управляющими – членами Союза АУ «Созидание»</w:t>
      </w:r>
      <w:r w:rsidRPr="00AB7E0F">
        <w:rPr>
          <w:b w:val="0"/>
          <w:bCs w:val="0"/>
          <w:sz w:val="21"/>
          <w:szCs w:val="21"/>
        </w:rPr>
        <w:t xml:space="preserve"> </w:t>
      </w:r>
      <w:r w:rsidRPr="00AB7E0F">
        <w:rPr>
          <w:rFonts w:ascii="Times New Roman" w:hAnsi="Times New Roman"/>
          <w:b w:val="0"/>
          <w:bCs w:val="0"/>
          <w:sz w:val="21"/>
          <w:szCs w:val="21"/>
        </w:rPr>
        <w:t>возложенных на них обязанностей в деле о банкротстве.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В основе инвестиционной политики Управляющей компании лежит стратегия сохранения и увеличения капитала, предполагающая использование системы контроля рисков для получения среднего стабильного дохода при минимальном уровне риска в целях сохранения и приумножения средств компенсационного фонда, находящихся в доверительном управлении Управляющей компании.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Средства компенсационного фонда размещаются в соответствии с настоящей Инвестиционной декларацией и с учётом ограничений, установленных Федеральным законом от 26.10.2002 №127-ФЗ «О несостоятельности (банкротстве)».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 w:after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Состав и структура активов, в которые Управляющей компанией могут быть инвестированы средства компенсационного фонда: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485"/>
        <w:gridCol w:w="2251"/>
        <w:gridCol w:w="2099"/>
      </w:tblGrid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№ 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Вид актива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Минимальная</w:t>
            </w:r>
          </w:p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доля актива в инвестиционном портфеле управляющей компании</w:t>
            </w:r>
          </w:p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(процентов)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Максимальная</w:t>
            </w:r>
          </w:p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доля актива в инвестиционном портфеле управляющей компании</w:t>
            </w:r>
          </w:p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(процентов)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4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Государственные ценные бумаги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  <w:lang w:val="en-US"/>
              </w:rPr>
              <w:t>100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Государственные ценные бумаги субъектов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30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 xml:space="preserve">Облигации российских эмитентов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30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Денежные средства в рублях на счетах в российских кредитных организациях, в том числе депозиты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30</w:t>
            </w:r>
          </w:p>
        </w:tc>
      </w:tr>
      <w:tr w:rsidR="00331802" w:rsidRPr="00AB7E0F" w:rsidTr="0006746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2" w:rsidRPr="00AB7E0F" w:rsidRDefault="00331802" w:rsidP="00067464">
            <w:pPr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Иностранная валюта на счетах в российских кредитных организациях, в том числе депозиты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02" w:rsidRPr="00AB7E0F" w:rsidRDefault="00331802" w:rsidP="00067464">
            <w:pPr>
              <w:jc w:val="center"/>
              <w:rPr>
                <w:sz w:val="21"/>
                <w:szCs w:val="21"/>
              </w:rPr>
            </w:pPr>
            <w:r w:rsidRPr="00AB7E0F">
              <w:rPr>
                <w:sz w:val="21"/>
                <w:szCs w:val="21"/>
              </w:rPr>
              <w:t>50</w:t>
            </w:r>
          </w:p>
        </w:tc>
      </w:tr>
    </w:tbl>
    <w:p w:rsidR="00331802" w:rsidRPr="00AB7E0F" w:rsidRDefault="00331802" w:rsidP="00331802">
      <w:pPr>
        <w:spacing w:before="120"/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При этом:</w:t>
      </w:r>
    </w:p>
    <w:p w:rsidR="00331802" w:rsidRPr="00AB7E0F" w:rsidRDefault="00331802" w:rsidP="00331802">
      <w:pPr>
        <w:numPr>
          <w:ilvl w:val="0"/>
          <w:numId w:val="2"/>
        </w:numPr>
        <w:tabs>
          <w:tab w:val="clear" w:pos="2433"/>
          <w:tab w:val="left" w:pos="1134"/>
        </w:tabs>
        <w:ind w:left="0"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доли актива в инвестиционном портфеле Управляющей компании рассчитываются относительно Стоимости чистых активов (СЧА);</w:t>
      </w:r>
    </w:p>
    <w:p w:rsidR="00331802" w:rsidRPr="00AB7E0F" w:rsidRDefault="00331802" w:rsidP="00331802">
      <w:pPr>
        <w:numPr>
          <w:ilvl w:val="0"/>
          <w:numId w:val="2"/>
        </w:numPr>
        <w:tabs>
          <w:tab w:val="clear" w:pos="2433"/>
          <w:tab w:val="left" w:pos="1134"/>
        </w:tabs>
        <w:ind w:left="0"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средства компенсационного фонда могут быть размещены в активы, указанные в подпунктах 1. – 3. настоящего пункта только в случае, если они обращаются на организованном рынке ценных бумаг;</w:t>
      </w:r>
    </w:p>
    <w:p w:rsidR="00331802" w:rsidRPr="00AB7E0F" w:rsidRDefault="00331802" w:rsidP="00331802">
      <w:pPr>
        <w:numPr>
          <w:ilvl w:val="0"/>
          <w:numId w:val="2"/>
        </w:numPr>
        <w:tabs>
          <w:tab w:val="clear" w:pos="2433"/>
          <w:tab w:val="left" w:pos="1134"/>
        </w:tabs>
        <w:ind w:left="0"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активы, указанные в подпунктах 2. – 4. настоящего пункта, могут составлять в совокупности не более 30 (тридцати) процентов СЧА;</w:t>
      </w:r>
    </w:p>
    <w:p w:rsidR="00331802" w:rsidRPr="00AB7E0F" w:rsidRDefault="00331802" w:rsidP="00331802">
      <w:pPr>
        <w:numPr>
          <w:ilvl w:val="0"/>
          <w:numId w:val="2"/>
        </w:numPr>
        <w:tabs>
          <w:tab w:val="clear" w:pos="2433"/>
          <w:tab w:val="left" w:pos="1134"/>
        </w:tabs>
        <w:ind w:left="0"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ценные бумаги одного эмитента, за исключением государственных ценных бумаг Российской Федерации, могут составлять не более чем 5 (пять) процентов СЧА.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Не допускается размещение средств компенсационного фонда в иные объекты инвестирования, прямо не предусмотренные настоящей Инвестиционной декларацией.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В случае нарушения требований к максимальной доле определенного класса активов в структуре инвестиционного портфеля из-за изменения рыночной или оценочной стоимости активов и/или изменения в структуре собственности эмитента, Управляющая компания обязуется скорректировать структуру активов в соответствии с требованиями к структуре инвестиционного портфеля в течение 6 (шести) месяцев с даты обнаружения указанного нарушения.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В случае нарушения требований к максимальной доле определенного класса активов в структуре инвестиционного портфеля в результате действий Управляющей компании, Управляющая компания обязана устранить нарушение в течение 30 (тридцати) дней с даты обнаружения указанного нарушения.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Несоответствие структуры и состава активов компенсационного фонда в момент передачи средств компенсационного фонда в доверительное управление, а также в момент передачи дополнительных средств в доверительное управление не считается нарушением требований настоящей Инвестиционной декларации при условии, что Управляющая компания устранила такое несоответствие в течение 10 (десяти) рабочих дней с момента передачи.</w:t>
      </w:r>
    </w:p>
    <w:p w:rsidR="00331802" w:rsidRPr="00AB7E0F" w:rsidRDefault="00331802" w:rsidP="00331802">
      <w:pPr>
        <w:tabs>
          <w:tab w:val="left" w:pos="0"/>
          <w:tab w:val="num" w:pos="1134"/>
        </w:tabs>
        <w:spacing w:before="120"/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Не является нарушением требований настоящей Инвестиционной декларации несоответствие состава и структуры активов компенсационного фонда, возникающее в момент вывода средств из доверительного управления по требованию Союза АУ «Созидание» в соответствии с Договором.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Если в результате изменения действующего законодательства Российской Федерации положения настоящей Инвестиционной декларации перестанут соответствовать требованиям каких-либо нормативных правовых актов, Управляющая компания будет руководствоваться требованиями соответствующих нормативных правовых актов вплоть до внесения необходимых изменений в настоящую Инвестиционную декларацию.</w:t>
      </w:r>
    </w:p>
    <w:p w:rsidR="00331802" w:rsidRPr="00AB7E0F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Описание рисков, связанных с инвестированием средств компенсационного фонда в активы, указанные в пункте 5 настоящей Инвестиционной декларации: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Правовой риск. Возможность потерь от инвестирования в активы в связи с появлением новых или изменением существующих нормативных правовых актов. Правовой риск включает в себя также возможные потери в связи с наличием противоречий между нормативными правовыми актами, а также возможность их двойственной трактовки, что создает риск некорректного применения нормативных актов;</w:t>
      </w:r>
    </w:p>
    <w:p w:rsidR="00331802" w:rsidRPr="00AB7E0F" w:rsidRDefault="00331802" w:rsidP="00331802">
      <w:pPr>
        <w:pStyle w:val="a3"/>
        <w:tabs>
          <w:tab w:val="left" w:pos="1134"/>
        </w:tabs>
        <w:suppressAutoHyphens/>
        <w:ind w:firstLine="567"/>
        <w:rPr>
          <w:color w:val="000000"/>
          <w:sz w:val="21"/>
          <w:szCs w:val="21"/>
          <w:shd w:val="clear" w:color="auto" w:fill="FFFFFF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 xml:space="preserve">Риск, связанный с размещением средств в банковские депозиты (вклады) и расчетный риск. </w:t>
      </w:r>
      <w:r w:rsidRPr="00AB7E0F">
        <w:rPr>
          <w:color w:val="000000"/>
          <w:sz w:val="21"/>
          <w:szCs w:val="21"/>
          <w:shd w:val="clear" w:color="auto" w:fill="FFFFFF"/>
        </w:rPr>
        <w:t>Существует риск задержки платежей при переводе средств внутри страны, риск невозврата банком суммы вклада и /или процентов по нему;</w:t>
      </w:r>
    </w:p>
    <w:p w:rsidR="00331802" w:rsidRPr="00AB7E0F" w:rsidRDefault="00331802" w:rsidP="00331802">
      <w:pPr>
        <w:pStyle w:val="a3"/>
        <w:tabs>
          <w:tab w:val="left" w:pos="1134"/>
        </w:tabs>
        <w:suppressAutoHyphens/>
        <w:ind w:firstLine="567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 xml:space="preserve">Риск эмитента. </w:t>
      </w:r>
      <w:r w:rsidRPr="00AB7E0F">
        <w:rPr>
          <w:color w:val="000000"/>
          <w:sz w:val="21"/>
          <w:szCs w:val="21"/>
          <w:shd w:val="clear" w:color="auto" w:fill="FFFFFF"/>
        </w:rPr>
        <w:t>Возможность возникновения ситуации неплатежеспособности эмитента ценной бумаги, изменении кредитных и иных рейтингов эмитента, предъявлении эмитенту имущественных требований или исков, что может привести к резкому падению стоимости ценных бумаг эмитента</w:t>
      </w:r>
      <w:r w:rsidRPr="00AB7E0F" w:rsidDel="001E4554">
        <w:rPr>
          <w:color w:val="000000"/>
          <w:sz w:val="21"/>
          <w:szCs w:val="21"/>
          <w:shd w:val="clear" w:color="auto" w:fill="FFFFFF"/>
        </w:rPr>
        <w:t xml:space="preserve"> </w:t>
      </w:r>
      <w:r w:rsidRPr="00AB7E0F">
        <w:rPr>
          <w:color w:val="000000"/>
          <w:sz w:val="21"/>
          <w:szCs w:val="21"/>
          <w:shd w:val="clear" w:color="auto" w:fill="FFFFFF"/>
        </w:rPr>
        <w:t>(вплоть до полной потери стоимости в случае с долевыми ценными бумагами) или к невозможности возврата её номинальной стоимости (в случае с долговыми ценными бумагами);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Рыночный риск. Может проявляться в неожиданном изменении цен на активы, что может повлечь за собой снижение стоимости инвестиций и, как следствие, снижение доходности или даже прямые убытки;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Риск потери ликвидности. Связан с возможностью потерь при продаже ценных бумаг в связи с отсутствием предложений по покупке данных бумаг. Данный риск может проявиться, в частности, в случае необходимости быстрого вывода инвестированных средств с фондового рынка (например, при ликвидации клиентом портфеля ценных бумаг);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 xml:space="preserve">Валютный риск. Связан с возможным неблагоприятным изменением курса рубля по отношению к иностранным валютам (американскому доллару, евро) вследствие чего средства компенсационного фонда могут быть подвержены инфляционному воздействию; 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Экономические риски. Россия относится к странам с развивающейся экономикой. Механизмы, призванные обеспечивать стабильное экономическое развитие, находятся в стадии формирования. Россия имеет также большую внешнюю задолженность, на обслуживание которой отвлекаются значительные ресурсы;</w:t>
      </w:r>
      <w:r w:rsidRPr="00AB7E0F">
        <w:rPr>
          <w:sz w:val="21"/>
          <w:szCs w:val="21"/>
        </w:rPr>
        <w:tab/>
      </w:r>
      <w:r w:rsidRPr="00AB7E0F">
        <w:rPr>
          <w:sz w:val="21"/>
          <w:szCs w:val="21"/>
        </w:rPr>
        <w:tab/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Риски, связанные с налогообложением. Налоговая система Российской Федерации находится в процессе развития и подвержена различным толкованиям и постоянным изменениям. В результате, сегодняшняя трактовка и толкование существующих законов и порядков могут быть изменены в будущем. Союз АУ «Созидание» должен учитывать риски, связанные с налогообложением при размещении средств компенсационного фонда;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Риски, связанные с использованием электронных и интернет-технологий. Характеризуются возможностью возникновения нарушений в нормальном функционировании систем обеспечения торгов (неисправности и сбои в работе оборудования, программного обеспечения, энергоснабжения и т.п.);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Системный риск. Связан с потенциальной неспособностью большого числа финансовых институтов выполнять свои обязательства;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Кредитный риск. Заключается в отказе контрагента от выполнения своих обязательств в случае неблагоприятного для него изменения рыночных условий;</w:t>
      </w:r>
    </w:p>
    <w:p w:rsidR="00331802" w:rsidRPr="00AB7E0F" w:rsidRDefault="00331802" w:rsidP="0033180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AB7E0F">
        <w:rPr>
          <w:sz w:val="21"/>
          <w:szCs w:val="21"/>
        </w:rPr>
        <w:t>−</w:t>
      </w:r>
      <w:r w:rsidRPr="00AB7E0F">
        <w:rPr>
          <w:sz w:val="21"/>
          <w:szCs w:val="21"/>
        </w:rPr>
        <w:tab/>
        <w:t>Операционный риск.  Данный риск заключается в возможности ошибочных действий третьих лиц и их мошеннических действий в процессе обработки транзакций, осуществления операций, связанных с хранением ценных бумаг и денежных средств, проведения расчётов и клиринга, либо их неправомерных действий в отношении имущества и охраняемых законом прав инвестора. К указанным третьим лицам, в частности, относятся: биржи, депозитарии, специализированные депозитарии, регистраторы, клиринговые и расчётные системы, эмитенты.</w:t>
      </w:r>
    </w:p>
    <w:p w:rsidR="00331802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AB7E0F">
        <w:rPr>
          <w:rFonts w:ascii="Times New Roman" w:hAnsi="Times New Roman"/>
          <w:b w:val="0"/>
          <w:bCs w:val="0"/>
          <w:sz w:val="21"/>
          <w:szCs w:val="21"/>
        </w:rPr>
        <w:t>Настоящая Инвестиционная декларация действует в течение срока действия Договора, заключённого с Управляющей компанией.</w:t>
      </w:r>
      <w:bookmarkStart w:id="0" w:name="_GoBack"/>
      <w:bookmarkEnd w:id="0"/>
    </w:p>
    <w:p w:rsidR="00331802" w:rsidRPr="00331802" w:rsidRDefault="00331802" w:rsidP="00331802">
      <w:pPr>
        <w:pStyle w:val="6"/>
        <w:numPr>
          <w:ilvl w:val="0"/>
          <w:numId w:val="1"/>
        </w:numPr>
        <w:tabs>
          <w:tab w:val="clear" w:pos="1260"/>
          <w:tab w:val="num" w:pos="360"/>
          <w:tab w:val="num" w:pos="1134"/>
        </w:tabs>
        <w:spacing w:before="120"/>
        <w:ind w:left="0" w:firstLine="567"/>
        <w:rPr>
          <w:rFonts w:ascii="Times New Roman" w:hAnsi="Times New Roman"/>
          <w:b w:val="0"/>
          <w:bCs w:val="0"/>
          <w:sz w:val="21"/>
          <w:szCs w:val="21"/>
        </w:rPr>
      </w:pPr>
      <w:r w:rsidRPr="00331802">
        <w:rPr>
          <w:rFonts w:ascii="Times New Roman" w:hAnsi="Times New Roman"/>
          <w:b w:val="0"/>
          <w:sz w:val="21"/>
          <w:szCs w:val="21"/>
        </w:rPr>
        <w:t>Союз АУ «Созидание»</w:t>
      </w:r>
      <w:r w:rsidRPr="00331802">
        <w:rPr>
          <w:b w:val="0"/>
          <w:sz w:val="21"/>
          <w:szCs w:val="21"/>
        </w:rPr>
        <w:t xml:space="preserve"> </w:t>
      </w:r>
      <w:r w:rsidRPr="00331802">
        <w:rPr>
          <w:rFonts w:ascii="Times New Roman" w:hAnsi="Times New Roman"/>
          <w:b w:val="0"/>
          <w:sz w:val="21"/>
          <w:szCs w:val="21"/>
        </w:rPr>
        <w:t>вправе с согласия Управляющей компании изменить Инвестиционную декларацию. Изменения к Инвестиционной декларации оформляются в виде дополнительного соглашения к Договору и подписываются обеими Сторонами.</w:t>
      </w:r>
    </w:p>
    <w:p w:rsidR="0026248D" w:rsidRPr="00331802" w:rsidRDefault="0026248D"/>
    <w:sectPr w:rsidR="0026248D" w:rsidRPr="00331802" w:rsidSect="00F55FBE">
      <w:pgSz w:w="11906" w:h="16838"/>
      <w:pgMar w:top="1474" w:right="849" w:bottom="72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329"/>
    <w:multiLevelType w:val="singleLevel"/>
    <w:tmpl w:val="114283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" w15:restartNumberingAfterBreak="0">
    <w:nsid w:val="10EC5AF0"/>
    <w:multiLevelType w:val="hybridMultilevel"/>
    <w:tmpl w:val="C68226E4"/>
    <w:lvl w:ilvl="0" w:tplc="06648D88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B5"/>
    <w:rsid w:val="0026248D"/>
    <w:rsid w:val="00331802"/>
    <w:rsid w:val="007E2D90"/>
    <w:rsid w:val="008261CF"/>
    <w:rsid w:val="00920BB5"/>
    <w:rsid w:val="00CA478C"/>
    <w:rsid w:val="00F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8C9F"/>
  <w15:chartTrackingRefBased/>
  <w15:docId w15:val="{71188E10-1A81-4F02-8FE9-6CE4E50D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5FBE"/>
    <w:pPr>
      <w:keepNext/>
      <w:tabs>
        <w:tab w:val="right" w:pos="9923"/>
      </w:tabs>
      <w:jc w:val="both"/>
      <w:outlineLvl w:val="5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55FBE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a3">
    <w:name w:val="Body Text"/>
    <w:basedOn w:val="a"/>
    <w:link w:val="a4"/>
    <w:rsid w:val="00F55FBE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5FB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55FBE"/>
    <w:pPr>
      <w:spacing w:before="120"/>
      <w:jc w:val="both"/>
    </w:pPr>
    <w:rPr>
      <w:sz w:val="22"/>
    </w:rPr>
  </w:style>
  <w:style w:type="character" w:styleId="a5">
    <w:name w:val="Strong"/>
    <w:uiPriority w:val="22"/>
    <w:qFormat/>
    <w:rsid w:val="00331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Рейценштейн Виктория</dc:creator>
  <cp:keywords/>
  <dc:description/>
  <cp:lastModifiedBy>Рейценштейн Виктория</cp:lastModifiedBy>
  <cp:revision>3</cp:revision>
  <dcterms:created xsi:type="dcterms:W3CDTF">2022-06-23T11:27:00Z</dcterms:created>
  <dcterms:modified xsi:type="dcterms:W3CDTF">2024-08-26T10:03:00Z</dcterms:modified>
</cp:coreProperties>
</file>